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4324A" w14:textId="77777777" w:rsidR="00880559" w:rsidRPr="00D9550B" w:rsidRDefault="00D9550B" w:rsidP="00D9550B">
      <w:pPr>
        <w:jc w:val="both"/>
        <w:rPr>
          <w:rFonts w:ascii="Verdana" w:hAnsi="Verdana"/>
          <w:sz w:val="24"/>
          <w:szCs w:val="24"/>
        </w:rPr>
      </w:pPr>
      <w:r w:rsidRPr="00D9550B">
        <w:rPr>
          <w:rFonts w:ascii="Verdana" w:hAnsi="Verdana"/>
          <w:sz w:val="24"/>
          <w:szCs w:val="24"/>
        </w:rPr>
        <w:t>INSCRIPCIÓN DE LAS SENTENCIAS DE DIVORCIO EN EL REGISTRO CIVIL CORRESPONDIENTE</w:t>
      </w:r>
    </w:p>
    <w:p w14:paraId="43BA3146" w14:textId="77777777" w:rsidR="00FF214C" w:rsidRDefault="00D9550B" w:rsidP="00D9550B">
      <w:pPr>
        <w:jc w:val="both"/>
        <w:rPr>
          <w:rFonts w:ascii="Verdana" w:hAnsi="Verdana"/>
          <w:sz w:val="24"/>
          <w:szCs w:val="24"/>
        </w:rPr>
      </w:pPr>
      <w:r w:rsidRPr="00D9550B">
        <w:rPr>
          <w:rFonts w:ascii="Verdana" w:hAnsi="Verdana"/>
          <w:sz w:val="24"/>
          <w:szCs w:val="24"/>
        </w:rPr>
        <w:t>R24/05/2024 (BOE 5(07/2024)</w:t>
      </w:r>
      <w:r w:rsidR="00FF214C">
        <w:rPr>
          <w:rFonts w:ascii="Verdana" w:hAnsi="Verdana"/>
          <w:sz w:val="24"/>
          <w:szCs w:val="24"/>
        </w:rPr>
        <w:t>. TRATANDOSE DE SENTENCIA DE DIVORCIO LA DG, EN BASE AL ARTÍCULO 60.3 LRC, EXIGE LA INSCRIPCIÓN EN EL REGISTRO CIVIL Y NO SIENDO SUFICIENTE QUE EN LA MISMA SE HAYA ESPECIFICADO POR DILIGENCIA EN DONDE SE REMITA EXHORTO AL REGISTRO CIVIL PARA LA INSCRIPCIÓN DEL AUTO, AL CONTRARIO DE LO QUE SE HA SENTADO PARA LAS MEDIDAS DE APOYO ADOPTADAS.</w:t>
      </w:r>
    </w:p>
    <w:p w14:paraId="590135F3" w14:textId="77777777" w:rsidR="00D9550B" w:rsidRPr="00FF214C" w:rsidRDefault="00FF214C" w:rsidP="00D9550B">
      <w:pPr>
        <w:jc w:val="both"/>
        <w:rPr>
          <w:rFonts w:ascii="Verdana" w:hAnsi="Verdana"/>
          <w:color w:val="00B0F0"/>
          <w:sz w:val="24"/>
          <w:szCs w:val="24"/>
        </w:rPr>
      </w:pPr>
      <w:r>
        <w:rPr>
          <w:rFonts w:ascii="Verdana" w:hAnsi="Verdana"/>
          <w:sz w:val="24"/>
          <w:szCs w:val="24"/>
        </w:rPr>
        <w:t>1</w:t>
      </w:r>
      <w:r w:rsidR="00D9550B" w:rsidRPr="00D9550B">
        <w:rPr>
          <w:rFonts w:ascii="Verdana" w:hAnsi="Verdana"/>
          <w:sz w:val="24"/>
          <w:szCs w:val="24"/>
        </w:rPr>
        <w:t>.-</w:t>
      </w:r>
      <w:r w:rsidR="00D9550B" w:rsidRPr="00FF214C">
        <w:rPr>
          <w:rFonts w:ascii="Verdana" w:hAnsi="Verdana"/>
          <w:color w:val="00B0F0"/>
          <w:sz w:val="24"/>
          <w:szCs w:val="24"/>
        </w:rPr>
        <w:t>SUPUESTO DE HECHO</w:t>
      </w:r>
    </w:p>
    <w:p w14:paraId="1E7F9E38" w14:textId="77777777" w:rsidR="00D9550B" w:rsidRPr="00D9550B" w:rsidRDefault="00D9550B" w:rsidP="00D9550B">
      <w:pPr>
        <w:jc w:val="both"/>
        <w:rPr>
          <w:rFonts w:ascii="Verdana" w:hAnsi="Verdana"/>
          <w:sz w:val="24"/>
          <w:szCs w:val="24"/>
        </w:rPr>
      </w:pPr>
      <w:r w:rsidRPr="00D9550B">
        <w:rPr>
          <w:rFonts w:ascii="Verdana" w:hAnsi="Verdana"/>
          <w:sz w:val="24"/>
          <w:szCs w:val="24"/>
        </w:rPr>
        <w:t>Mediante escritura autorizada el día 6 de noviembre de 2023 por el notario de Estepa don Rubén Ferreiro Casillas, con el número 2.380 de protocolo, se liquidó la sociedad de gananciales que había existido entre doña S. A. E. C. y don A. E. P. M., disuelta por divorcio mediante sentencia dictada el día 16 de marzo de 2010, que se testimoniaba en dicha escritura. El matrimonio se había contraído el día 18 de agosto de 1999 y se inscribió en el Registro Civil Central.</w:t>
      </w:r>
    </w:p>
    <w:p w14:paraId="20E59640" w14:textId="77777777" w:rsidR="00D9550B" w:rsidRPr="00FF214C" w:rsidRDefault="00D9550B" w:rsidP="00D9550B">
      <w:pPr>
        <w:jc w:val="both"/>
        <w:rPr>
          <w:rFonts w:ascii="Verdana" w:hAnsi="Verdana"/>
          <w:color w:val="00B0F0"/>
          <w:sz w:val="24"/>
          <w:szCs w:val="24"/>
        </w:rPr>
      </w:pPr>
      <w:r w:rsidRPr="00D9550B">
        <w:rPr>
          <w:rFonts w:ascii="Verdana" w:hAnsi="Verdana"/>
          <w:sz w:val="24"/>
          <w:szCs w:val="24"/>
        </w:rPr>
        <w:t>2.-</w:t>
      </w:r>
      <w:r w:rsidRPr="00FF214C">
        <w:rPr>
          <w:rFonts w:ascii="Verdana" w:hAnsi="Verdana"/>
          <w:color w:val="00B0F0"/>
          <w:sz w:val="24"/>
          <w:szCs w:val="24"/>
        </w:rPr>
        <w:t>CALIFICACION REGISTRAL</w:t>
      </w:r>
    </w:p>
    <w:p w14:paraId="22C1C8CE" w14:textId="77777777" w:rsidR="00D9550B" w:rsidRPr="00D9550B" w:rsidRDefault="00D9550B" w:rsidP="00D9550B">
      <w:pPr>
        <w:jc w:val="both"/>
        <w:rPr>
          <w:rFonts w:ascii="Verdana" w:hAnsi="Verdana"/>
          <w:sz w:val="24"/>
          <w:szCs w:val="24"/>
        </w:rPr>
      </w:pPr>
      <w:r w:rsidRPr="00D9550B">
        <w:rPr>
          <w:rFonts w:ascii="Verdana" w:hAnsi="Verdana"/>
          <w:sz w:val="24"/>
          <w:szCs w:val="24"/>
        </w:rPr>
        <w:t>Presentada el día 28 de diciembre de 2023 dicha escritura en el Registro de la Propiedad de Estepa, fue objeto de calificación el 18 de enero de 2024 por la que el registrador suspendió la inscripción por no acreditarse la inscripción en el Registro Civil de la referida sentencia de divorcio.</w:t>
      </w:r>
    </w:p>
    <w:p w14:paraId="7F41391C" w14:textId="77777777" w:rsidR="00D9550B" w:rsidRPr="00D9550B" w:rsidRDefault="00D9550B" w:rsidP="00D9550B">
      <w:pPr>
        <w:jc w:val="both"/>
        <w:rPr>
          <w:rFonts w:ascii="Verdana" w:hAnsi="Verdana"/>
          <w:sz w:val="24"/>
          <w:szCs w:val="24"/>
        </w:rPr>
      </w:pPr>
      <w:r w:rsidRPr="00D9550B">
        <w:rPr>
          <w:rFonts w:ascii="Verdana" w:hAnsi="Verdana"/>
          <w:sz w:val="24"/>
          <w:szCs w:val="24"/>
        </w:rPr>
        <w:t>3.-</w:t>
      </w:r>
      <w:r w:rsidRPr="00FF214C">
        <w:rPr>
          <w:rFonts w:ascii="Verdana" w:hAnsi="Verdana"/>
          <w:color w:val="00B0F0"/>
          <w:sz w:val="24"/>
          <w:szCs w:val="24"/>
        </w:rPr>
        <w:t>POSICION DE LA DG</w:t>
      </w:r>
    </w:p>
    <w:p w14:paraId="0438E2CF" w14:textId="77777777" w:rsidR="005E470E" w:rsidRDefault="00D9550B" w:rsidP="00D9550B">
      <w:pPr>
        <w:jc w:val="both"/>
        <w:rPr>
          <w:rFonts w:ascii="Verdana" w:hAnsi="Verdana"/>
          <w:sz w:val="24"/>
          <w:szCs w:val="24"/>
        </w:rPr>
      </w:pPr>
      <w:r w:rsidRPr="00D9550B">
        <w:rPr>
          <w:rFonts w:ascii="Verdana" w:hAnsi="Verdana"/>
          <w:sz w:val="24"/>
          <w:szCs w:val="24"/>
        </w:rPr>
        <w:t> </w:t>
      </w:r>
      <w:r w:rsidR="005E470E">
        <w:rPr>
          <w:rFonts w:ascii="Verdana" w:hAnsi="Verdana"/>
          <w:sz w:val="24"/>
          <w:szCs w:val="24"/>
        </w:rPr>
        <w:t>A.-</w:t>
      </w:r>
      <w:r w:rsidR="005E470E" w:rsidRPr="00FF214C">
        <w:rPr>
          <w:rFonts w:ascii="Verdana" w:hAnsi="Verdana"/>
          <w:color w:val="00B0F0"/>
          <w:sz w:val="24"/>
          <w:szCs w:val="24"/>
        </w:rPr>
        <w:t>BASE NORMATIVA</w:t>
      </w:r>
      <w:r w:rsidR="005E470E">
        <w:rPr>
          <w:rFonts w:ascii="Verdana" w:hAnsi="Verdana"/>
          <w:sz w:val="24"/>
          <w:szCs w:val="24"/>
        </w:rPr>
        <w:t>.</w:t>
      </w:r>
    </w:p>
    <w:p w14:paraId="1561C797" w14:textId="77777777" w:rsidR="00D9550B" w:rsidRDefault="00D9550B" w:rsidP="00D9550B">
      <w:pPr>
        <w:jc w:val="both"/>
        <w:rPr>
          <w:rFonts w:ascii="Verdana" w:hAnsi="Verdana"/>
          <w:sz w:val="24"/>
          <w:szCs w:val="24"/>
        </w:rPr>
      </w:pPr>
      <w:r w:rsidRPr="00D9550B">
        <w:rPr>
          <w:rFonts w:ascii="Verdana" w:hAnsi="Verdana"/>
          <w:sz w:val="24"/>
          <w:szCs w:val="24"/>
        </w:rPr>
        <w:t xml:space="preserve">Según el artículo 89 del Código Civil, «los efectos de la disolución del matrimonio por divorcio se producirán desde la firmeza de la sentencia o decreto que así lo declare o desde la manifestación del consentimiento de ambos cónyuges otorgado en escritura pública conforme a lo dispuesto en el artículo 87. No perjudicará a terceros de buena fe sino a partir de su respectiva inscripción en el Registro Civil». Y según el </w:t>
      </w:r>
      <w:r w:rsidRPr="00D9550B">
        <w:rPr>
          <w:rFonts w:ascii="Verdana" w:hAnsi="Verdana"/>
          <w:b/>
          <w:sz w:val="24"/>
          <w:szCs w:val="24"/>
        </w:rPr>
        <w:t>artículo 1333 del mismo Código</w:t>
      </w:r>
      <w:r w:rsidRPr="00D9550B">
        <w:rPr>
          <w:rFonts w:ascii="Verdana" w:hAnsi="Verdana"/>
          <w:sz w:val="24"/>
          <w:szCs w:val="24"/>
        </w:rPr>
        <w:t xml:space="preserve">, «en toda inscripción de matrimonio en el Registro Civil se hará mención, en su caso, de las capitulaciones matrimoniales que se hubieren otorgado, así como de los pactos, resoluciones judiciales y demás hechos que modifiquen el régimen económico del matrimonio. Si aquéllas o éstos afectaren a inmuebles, se tomará razón en el Registro de la Propiedad, en la forma y a los efectos previstos en la Ley Hipotecaria». </w:t>
      </w:r>
    </w:p>
    <w:p w14:paraId="63329BA8" w14:textId="77777777" w:rsidR="00D9550B" w:rsidRDefault="00D9550B" w:rsidP="00D9550B">
      <w:pPr>
        <w:jc w:val="both"/>
        <w:rPr>
          <w:rFonts w:ascii="Verdana" w:hAnsi="Verdana"/>
          <w:sz w:val="24"/>
          <w:szCs w:val="24"/>
        </w:rPr>
      </w:pPr>
      <w:r w:rsidRPr="00D9550B">
        <w:rPr>
          <w:rFonts w:ascii="Verdana" w:hAnsi="Verdana"/>
          <w:sz w:val="24"/>
          <w:szCs w:val="24"/>
        </w:rPr>
        <w:lastRenderedPageBreak/>
        <w:t xml:space="preserve">El </w:t>
      </w:r>
      <w:r w:rsidRPr="00D9550B">
        <w:rPr>
          <w:rFonts w:ascii="Verdana" w:hAnsi="Verdana"/>
          <w:b/>
          <w:sz w:val="24"/>
          <w:szCs w:val="24"/>
        </w:rPr>
        <w:t>artículo 61 de la Ley 20/2011, de 21 de julio</w:t>
      </w:r>
      <w:r w:rsidRPr="00D9550B">
        <w:rPr>
          <w:rFonts w:ascii="Verdana" w:hAnsi="Verdana"/>
          <w:sz w:val="24"/>
          <w:szCs w:val="24"/>
        </w:rPr>
        <w:t>, del Registro Civil, establece que el letrado de la Administración de Justicia del juzgado o tribunal que hubiera dictado la resolución judicial firme de divorcio deberá remitir testimonio o copia electrónica de la misma a la Oficina General del Registro Civil, la cual practicará de forma inmediata la correspondiente inscripción; y la misma obligación impone al notario que hubiera autoriza</w:t>
      </w:r>
      <w:r>
        <w:rPr>
          <w:rFonts w:ascii="Verdana" w:hAnsi="Verdana"/>
          <w:sz w:val="24"/>
          <w:szCs w:val="24"/>
        </w:rPr>
        <w:t>do la escritura publica formalizando un convenio regulador de separación o divorcio</w:t>
      </w:r>
    </w:p>
    <w:p w14:paraId="278A77E4" w14:textId="77777777" w:rsidR="005E470E" w:rsidRPr="00FF214C" w:rsidRDefault="005E470E" w:rsidP="00D9550B">
      <w:pPr>
        <w:jc w:val="both"/>
        <w:rPr>
          <w:rFonts w:ascii="Verdana" w:hAnsi="Verdana"/>
          <w:color w:val="00B0F0"/>
          <w:sz w:val="24"/>
          <w:szCs w:val="24"/>
        </w:rPr>
      </w:pPr>
      <w:r>
        <w:rPr>
          <w:rFonts w:ascii="Verdana" w:hAnsi="Verdana"/>
          <w:sz w:val="24"/>
          <w:szCs w:val="24"/>
        </w:rPr>
        <w:t>B.-</w:t>
      </w:r>
      <w:r w:rsidRPr="00FF214C">
        <w:rPr>
          <w:rFonts w:ascii="Verdana" w:hAnsi="Verdana"/>
          <w:color w:val="00B0F0"/>
          <w:sz w:val="24"/>
          <w:szCs w:val="24"/>
        </w:rPr>
        <w:t>EVITAR LA COLISIÓN ENTRE LA INOPONIBILIDAD DERIVADA DE LA FALTA DE INSCRIPCIÓN EN EL REGISTRO CIVIL Y LA OPONIBILIDAD NACIDA D ELA INSCRIPCIÓN EN EL REGISTRO DE LA PROPIEDAD.</w:t>
      </w:r>
    </w:p>
    <w:p w14:paraId="062622F9" w14:textId="77777777" w:rsidR="00D9550B" w:rsidRDefault="005E470E" w:rsidP="00D9550B">
      <w:pPr>
        <w:jc w:val="both"/>
        <w:rPr>
          <w:rFonts w:ascii="Verdana" w:hAnsi="Verdana"/>
          <w:sz w:val="24"/>
          <w:szCs w:val="24"/>
        </w:rPr>
      </w:pPr>
      <w:r w:rsidRPr="005E470E">
        <w:rPr>
          <w:rFonts w:ascii="Verdana" w:hAnsi="Verdana"/>
          <w:sz w:val="24"/>
          <w:szCs w:val="24"/>
        </w:rPr>
        <w:t xml:space="preserve">Sobre esta base normativa, la DG ha establecido  que la inscripción en el Registro Civil tiene efectos no solo probatorios y de legitimación (artículo 17 de la Ley del Registro Civil), sino también de oponibilidad frente a terceros (artículo 1218 del Código Civil, en combinación con el artículo 222.3 de la Ley de Enjuiciamiento Civil); y, por ello, este Centro Directivo ha llegado </w:t>
      </w:r>
      <w:r w:rsidRPr="005E470E">
        <w:rPr>
          <w:rFonts w:ascii="Verdana" w:hAnsi="Verdana"/>
          <w:b/>
          <w:sz w:val="24"/>
          <w:szCs w:val="24"/>
        </w:rPr>
        <w:t>a afirmar en reiteradas ocasiones que debe rechazarse la inscripción en el Registro de la Propiedad sin la previa indicación del régimen económico matrimonial en el Registro Civi</w:t>
      </w:r>
      <w:r w:rsidRPr="005E470E">
        <w:rPr>
          <w:rFonts w:ascii="Verdana" w:hAnsi="Verdana"/>
          <w:sz w:val="24"/>
          <w:szCs w:val="24"/>
        </w:rPr>
        <w:t>l, pues ello podría desembocar en la indeseable consecuencia de que se produjera una colisión entre la inoponibilidad derivada de la falta de inscripción en el Registro Civil y la oponibilidad nacida de la inscripción en el Registro de la Propiedad (artículo 32 de la Ley Hipotecaria), al publicar cada Registro una realidad distinta</w:t>
      </w:r>
      <w:r>
        <w:rPr>
          <w:rFonts w:ascii="Verdana" w:hAnsi="Verdana"/>
          <w:sz w:val="24"/>
          <w:szCs w:val="24"/>
        </w:rPr>
        <w:t>.</w:t>
      </w:r>
    </w:p>
    <w:p w14:paraId="00186654" w14:textId="77777777" w:rsidR="005E470E" w:rsidRDefault="005E470E" w:rsidP="00D9550B">
      <w:pPr>
        <w:jc w:val="both"/>
        <w:rPr>
          <w:rFonts w:ascii="Verdana" w:hAnsi="Verdana"/>
          <w:sz w:val="24"/>
          <w:szCs w:val="24"/>
        </w:rPr>
      </w:pPr>
      <w:r>
        <w:rPr>
          <w:rFonts w:ascii="Verdana" w:hAnsi="Verdana"/>
          <w:sz w:val="24"/>
          <w:szCs w:val="24"/>
        </w:rPr>
        <w:t>C.-</w:t>
      </w:r>
      <w:r w:rsidRPr="00FF214C">
        <w:rPr>
          <w:rFonts w:ascii="Verdana" w:hAnsi="Verdana"/>
          <w:color w:val="00B0F0"/>
          <w:sz w:val="24"/>
          <w:szCs w:val="24"/>
        </w:rPr>
        <w:t>CONSECUENCIAS QUE SE DERIVAN DE LA RESOLUCIÓN JUDICIAL O ESCRITURA DE DIVORCIO</w:t>
      </w:r>
    </w:p>
    <w:p w14:paraId="431A5D03" w14:textId="77777777" w:rsidR="005E470E" w:rsidRDefault="005E470E" w:rsidP="00D9550B">
      <w:pPr>
        <w:jc w:val="both"/>
        <w:rPr>
          <w:rFonts w:ascii="Verdana" w:hAnsi="Verdana"/>
          <w:sz w:val="24"/>
          <w:szCs w:val="24"/>
        </w:rPr>
      </w:pPr>
      <w:r w:rsidRPr="005E470E">
        <w:rPr>
          <w:rFonts w:ascii="Verdana" w:hAnsi="Verdana"/>
          <w:sz w:val="24"/>
          <w:szCs w:val="24"/>
        </w:rPr>
        <w:t xml:space="preserve">No obstante, frente a estas consideraciones también podría tenerse en cuenta: a) que la inscripción de la resolución judicial o de la escritura de divorcio no es constitutiva de los hechos inscritos sino que –aparte su oponibilidad– tiene simplemente efectos probatorios y de legitimación, de modo que tal efecto probatorio no es excluyente, pues según el mismo artículo 17 de la Ley de Registro Civil, «en los casos de falta de inscripción o en los que no fuera posible certificar del asiento, se admitirán otros medios de prueba», siendo en el primer caso «requisito indispensable para su admisión la acreditación de que previa o simultáneamente se ha instado la inscripción omitida o la reconstrucción del asiento, y no su mera solicitud»; b) que las resoluciones judiciales y escrituras de divorcio son documentos públicos que constituyen medio de prueba suficiente para acreditar los hechos a que se refieren y su inscripción sólo producen el despliegue de los principios de publicidad y legitimación registral de forma que pueda oponerse el hecho inscrito a quien no conoce el título, pero </w:t>
      </w:r>
      <w:r w:rsidRPr="005E470E">
        <w:rPr>
          <w:rFonts w:ascii="Verdana" w:hAnsi="Verdana"/>
          <w:sz w:val="24"/>
          <w:szCs w:val="24"/>
        </w:rPr>
        <w:lastRenderedPageBreak/>
        <w:t>conociéndolo no puede negarse su eficacia probatoria, y c) que, especialmente en casos de dilación de la inscripción en el Registro Civil por causas ajenas a la voluntad del interesado, ese deseo de conjurar el riesgo de que se produzca una colisión entre la inoponibilidad de la medida de apoyo derivada de su falta de inscripción en el Registro Civil y la oponibilidad de la inscripción de la adquisición de que se trata en el Registro de la Propiedad, no debe prevalecer sobre la necesidad de agilizar y simplificar el tráfico en la medida en que queden debidamente salvaguardados los intereses de las personas afectadas por el divorcio</w:t>
      </w:r>
      <w:r>
        <w:rPr>
          <w:rFonts w:ascii="Verdana" w:hAnsi="Verdana"/>
          <w:sz w:val="24"/>
          <w:szCs w:val="24"/>
        </w:rPr>
        <w:t>.</w:t>
      </w:r>
    </w:p>
    <w:p w14:paraId="656F1448" w14:textId="77777777" w:rsidR="005E470E" w:rsidRPr="00FF214C" w:rsidRDefault="005E470E" w:rsidP="00D9550B">
      <w:pPr>
        <w:jc w:val="both"/>
        <w:rPr>
          <w:rFonts w:ascii="Verdana" w:hAnsi="Verdana"/>
          <w:sz w:val="24"/>
          <w:szCs w:val="24"/>
        </w:rPr>
      </w:pPr>
      <w:r>
        <w:rPr>
          <w:rFonts w:ascii="Verdana" w:hAnsi="Verdana"/>
          <w:sz w:val="24"/>
          <w:szCs w:val="24"/>
        </w:rPr>
        <w:t xml:space="preserve">D.-DIFERENTE TRATO CON LA INSCRIPCIÓN DE LAS MEDIDAS DE </w:t>
      </w:r>
      <w:r w:rsidRPr="00FF214C">
        <w:rPr>
          <w:rFonts w:ascii="Verdana" w:hAnsi="Verdana"/>
          <w:sz w:val="24"/>
          <w:szCs w:val="24"/>
        </w:rPr>
        <w:t xml:space="preserve">APOOYO </w:t>
      </w:r>
    </w:p>
    <w:p w14:paraId="7169ED9D" w14:textId="77777777" w:rsidR="005E470E" w:rsidRPr="00FF214C" w:rsidRDefault="005E470E" w:rsidP="00D9550B">
      <w:pPr>
        <w:jc w:val="both"/>
        <w:rPr>
          <w:rFonts w:ascii="Verdana" w:hAnsi="Verdana"/>
          <w:sz w:val="24"/>
          <w:szCs w:val="24"/>
        </w:rPr>
      </w:pPr>
      <w:r w:rsidRPr="00FF214C">
        <w:rPr>
          <w:rFonts w:ascii="Verdana" w:hAnsi="Verdana"/>
          <w:sz w:val="24"/>
          <w:szCs w:val="24"/>
        </w:rPr>
        <w:t xml:space="preserve">Precisamente por consideraciones análogas a estas últimas este centro directivo ha admitido, por ejemplo, que para la práctica de la inscripción en el Registro de la Propiedad de escrituras otorgadas por representantes de personas afectadas por discapacidad –o por estas con asistencia del curador– será suficiente la diligencia por la que se ordena remitir exhorto al Registro Civil para la inscripción del auto sobre la medida de apoyo adoptada (vid. Resolución de 31 de octubre de 2023. Vid., también, la reciente Resolución de 15 de febrero de 2024, según la cual, es inscribible la venta realizada por la </w:t>
      </w:r>
      <w:proofErr w:type="gramStart"/>
      <w:r w:rsidRPr="00FF214C">
        <w:rPr>
          <w:rFonts w:ascii="Verdana" w:hAnsi="Verdana"/>
          <w:sz w:val="24"/>
          <w:szCs w:val="24"/>
        </w:rPr>
        <w:t>tutora</w:t>
      </w:r>
      <w:proofErr w:type="gramEnd"/>
      <w:r w:rsidRPr="00FF214C">
        <w:rPr>
          <w:rFonts w:ascii="Verdana" w:hAnsi="Verdana"/>
          <w:sz w:val="24"/>
          <w:szCs w:val="24"/>
        </w:rPr>
        <w:t xml:space="preserve"> aunque no constara el hecho de haberse remitido al Registro Civil las correspondientes resoluciones judiciales relativas a su nombramiento y la aceptación del cargo, por entender suficiente que se incorporase a la escritura calificada testimonio del auto judicial de autorización a la tutora para proceder a la venta formalizada)</w:t>
      </w:r>
    </w:p>
    <w:p w14:paraId="07CD899D" w14:textId="77777777" w:rsidR="00FF214C" w:rsidRPr="00FF214C" w:rsidRDefault="00FF214C" w:rsidP="00D9550B">
      <w:pPr>
        <w:jc w:val="both"/>
        <w:rPr>
          <w:rFonts w:ascii="Verdana" w:hAnsi="Verdana"/>
          <w:sz w:val="24"/>
          <w:szCs w:val="24"/>
        </w:rPr>
      </w:pPr>
      <w:r w:rsidRPr="00FF214C">
        <w:rPr>
          <w:rFonts w:ascii="Verdana" w:hAnsi="Verdana"/>
          <w:sz w:val="24"/>
          <w:szCs w:val="24"/>
        </w:rPr>
        <w:t>judicial de autorización a la tutora para proceder a la venta formalizada). 3.</w:t>
      </w:r>
      <w:r w:rsidRPr="00FF214C">
        <w:rPr>
          <w:rFonts w:ascii="Verdana" w:hAnsi="Verdana"/>
          <w:sz w:val="24"/>
          <w:szCs w:val="24"/>
        </w:rPr>
        <w:t> </w:t>
      </w:r>
      <w:r w:rsidRPr="00FF214C">
        <w:rPr>
          <w:rFonts w:ascii="Verdana" w:hAnsi="Verdana"/>
          <w:sz w:val="24"/>
          <w:szCs w:val="24"/>
        </w:rPr>
        <w:t xml:space="preserve">Ciertamente, en un caso como el del presente recurso habría razones suficientes para aplicar el mismo criterio de agilización y simplificación del tráfico jurídico, pues en la sentencia de divorcio testimoniada en la escritura se ordena que se comunique al Registro Civil correspondiente a los efectos oportunos. Y se ha acreditado que la ahora recurrente solicitó en el Juzgado competente el día 19 de enero de 2024 que la sentencia de divorcio –de fecha 16 de marzo de 2010– se inscribiera en el Registro Civil. No obstante, no puede desconocerse que el artículo 60 de la Ley de Registro Civil, en su apartado 3 (introducido por la Ley 15/2015, de 2 de julio, de la Jurisdicción Voluntaria), establece que «en las inscripciones que en cualquier otro Registro produzcan las capitulaciones y demás hechos que afecten al régimen económico matrimonial, se expresarán los datos de su inscripción en el Registro Civil». Asimismo, el artículo 266 del Reglamento del Registro Civil exige en su párrafo sexto, que en las inscripciones que en cualquier otro Registro –y, por tanto, en el de la Propiedad– produzcan los hechos que afecten al régimen económico </w:t>
      </w:r>
      <w:r w:rsidRPr="00FF214C">
        <w:rPr>
          <w:rFonts w:ascii="Verdana" w:hAnsi="Verdana"/>
          <w:sz w:val="24"/>
          <w:szCs w:val="24"/>
        </w:rPr>
        <w:lastRenderedPageBreak/>
        <w:t>matrimonial han de expresarse los datos de inscripción en el Registro Civil (tomo y folio en que consta inscrito o indicado el hecho), que se acreditarán por certificación, por el libro de familia o por la nota al pie del documento. Y dispone que «de no acreditarse se suspenderá la inscripción por defecto subsanable».</w:t>
      </w:r>
    </w:p>
    <w:p w14:paraId="7324FCF6" w14:textId="77777777" w:rsidR="005E470E" w:rsidRPr="005E470E" w:rsidRDefault="005E470E" w:rsidP="00D9550B">
      <w:pPr>
        <w:jc w:val="both"/>
        <w:rPr>
          <w:rFonts w:ascii="Verdana" w:hAnsi="Verdana"/>
          <w:sz w:val="24"/>
          <w:szCs w:val="24"/>
        </w:rPr>
      </w:pPr>
      <w:r w:rsidRPr="005E470E">
        <w:rPr>
          <w:rFonts w:ascii="Verdana" w:hAnsi="Verdana"/>
          <w:sz w:val="24"/>
          <w:szCs w:val="24"/>
        </w:rPr>
        <w:t>No obstante, frente a estas consideraciones también podría tenerse en cuenta: a) que la inscripción de la resolución judicial o de la escritura de divorcio no es constitutiva de los hechos inscritos sino que –aparte su oponibilidad– tiene simplemente efectos probatorios y de legitimación, de modo que tal efecto probatorio no es excluyente, pues según el mismo artículo 17 de la Ley de Registro Civil, «en los casos de falta de inscripción o en los que no fuera posible certificar del asiento, se admitirán otros medios de prueba», siendo en el primer caso «requisito indispensable para su admisión la acreditación de que previa o simultáneamente se ha instado la inscripción omitida o la reconstrucción del asiento, y no su mera solicitud»; b) que las resoluciones judiciales y escrituras de divorcio son documentos públicos que constituyen medio de prueba suficiente para acreditar los hechos a que se refieren y su inscripción sólo producen el despliegue de los principios de publicidad y legitimación registral de forma que pueda oponerse el hecho inscrito a quien no conoce el título, pero conociéndolo no puede negarse su eficacia probatoria, y c) que, especialmente en casos de dilación de la inscripción en el Registro Civil por causas ajenas a la voluntad del interesado, ese deseo de conjurar el riesgo de que se produzca una colisión entre la inoponibilidad de la medida de apoyo derivada de su falta de inscripción en el Registro Civil y la oponibilidad de la inscripción de la adquisición de que se trata en el Registro de la Propiedad, no debe prevalecer sobre la necesidad de agilizar y simplificar el tráfico en la medida en que queden debidamente salvaguardados los intereses de las personas afectadas por el divorcio</w:t>
      </w:r>
    </w:p>
    <w:sectPr w:rsidR="005E470E" w:rsidRPr="005E470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0B"/>
    <w:rsid w:val="000A6181"/>
    <w:rsid w:val="002B7F3C"/>
    <w:rsid w:val="005E470E"/>
    <w:rsid w:val="00880559"/>
    <w:rsid w:val="00B13C18"/>
    <w:rsid w:val="00D9550B"/>
    <w:rsid w:val="00FF21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AEA57"/>
  <w15:chartTrackingRefBased/>
  <w15:docId w15:val="{C88C6A6A-4A13-477D-B708-41E6720D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1520</Words>
  <Characters>8366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Portátil</dc:creator>
  <cp:keywords/>
  <dc:description/>
  <cp:lastModifiedBy>JoseCastaño</cp:lastModifiedBy>
  <cp:revision>2</cp:revision>
  <dcterms:created xsi:type="dcterms:W3CDTF">2025-01-10T12:11:00Z</dcterms:created>
  <dcterms:modified xsi:type="dcterms:W3CDTF">2025-01-10T12:11:00Z</dcterms:modified>
</cp:coreProperties>
</file>